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Conference Call: December 6th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Present: UM-Msla; Helena College; DCC; Regent Greenfield; MCC; MSU-Boz; Western; Tech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Campus Updates: </w:t>
        <w:br w:type="textWrapping"/>
        <w:t xml:space="preserve">Helena: 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Final faces of Draft Governing Documents (Deadline 12/15)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Interim Dean coming in (Commissioner visited campus)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Dawson: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Nothing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MCC: 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Koreena’s Resignation (Chance &amp; New President)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Dean of Student Affairs has been hired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MSU Bozeman: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Bobcat 4x4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Student Conduct Code &amp; Marketing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Transitional space for homeless students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UM-Msla: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APASP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Internal Strategic Planning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Stage 112 &amp; UM Productions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President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Western: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Xmas Events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Big  Donor (and other donors) to give to hotel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Dean of Faculty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Xmas Party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Tech: 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Finals Week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Regent Greenfield: 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Fee Task Force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January BoR meeting might be moved to Missoula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Fee Update: Monday met with Commissioner Christian &amp; Tyler Trevor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ab/>
        <w:t xml:space="preserve">A Fee Task Force will be developed with 3 student seats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ab/>
        <w:t xml:space="preserve">Regent Greenfield wants to work to maintain student autonomy over fees in this process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ab/>
        <w:t xml:space="preserve">Bi-weekly meetings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ab/>
        <w:t xml:space="preserve">Student Nominations? Brenna, Dalton, &amp; (tentatively) Collin.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Additional Tasks: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General Marketing: Dalton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Legislature/6-Mill Levy: Brenna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Tribal Outreach: Cole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